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56" w:rsidRDefault="00CA38EA">
      <w:pPr>
        <w:pStyle w:val="1"/>
        <w:spacing w:after="280"/>
        <w:ind w:firstLine="0"/>
        <w:jc w:val="center"/>
      </w:pPr>
      <w:bookmarkStart w:id="0" w:name="_GoBack"/>
      <w:r>
        <w:rPr>
          <w:b/>
          <w:bCs/>
        </w:rPr>
        <w:t>Основные новеллы в Методических рекомендациях по вопросам</w:t>
      </w:r>
      <w:r>
        <w:rPr>
          <w:b/>
          <w:bCs/>
        </w:rPr>
        <w:br/>
        <w:t>представления сведений о доходах, расходах, об имуществе и обязательствах</w:t>
      </w:r>
      <w:r>
        <w:rPr>
          <w:b/>
          <w:bCs/>
        </w:rPr>
        <w:br/>
        <w:t>имущественного характера и заполнения соответствующей формы справки</w:t>
      </w:r>
      <w:r>
        <w:rPr>
          <w:b/>
          <w:bCs/>
        </w:rPr>
        <w:br/>
        <w:t>в 2024 году (за отчетный 2023 год)</w:t>
      </w:r>
    </w:p>
    <w:bookmarkEnd w:id="0"/>
    <w:p w:rsidR="00772E56" w:rsidRDefault="00CA38EA">
      <w:pPr>
        <w:pStyle w:val="1"/>
        <w:ind w:firstLine="720"/>
        <w:jc w:val="both"/>
      </w:pPr>
      <w: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Методических рекомендаций размещается на официальном сайте Минтруда России.</w:t>
      </w:r>
    </w:p>
    <w:p w:rsidR="00772E56" w:rsidRDefault="00CA38EA">
      <w:pPr>
        <w:pStyle w:val="1"/>
        <w:ind w:firstLine="720"/>
        <w:jc w:val="both"/>
      </w:pPr>
      <w:r>
        <w:t>Методические рекомендации для применения в ходе декларационной кампании 2024 года (за отчетный 2023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772E56" w:rsidRDefault="00CA38EA">
      <w:pPr>
        <w:pStyle w:val="1"/>
        <w:ind w:firstLine="720"/>
        <w:jc w:val="both"/>
      </w:pPr>
      <w:r>
        <w:t>При использовании указанных Методических рекомендаций предлагается обратить внимание на следующие изменения.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1" w:name="bookmark0"/>
      <w:bookmarkEnd w:id="1"/>
      <w:r>
        <w:t>Отражены особенности, связанные с положениями Федерального закона от 6 февраля 2023 г.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Федерации", 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а также Указа Президента Российской Федерации от 22 января 2024 г. № 61 "О федеральном кадровом резерве на государственной гражданской службе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</w:pPr>
      <w:bookmarkStart w:id="2" w:name="bookmark1"/>
      <w:bookmarkEnd w:id="2"/>
      <w:r>
        <w:t xml:space="preserve">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 Указа 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</w:t>
      </w:r>
      <w:r w:rsidRPr="00860986">
        <w:rPr>
          <w:color w:val="auto"/>
        </w:rPr>
        <w:t>категориями граждан в период проведения специальной военной операции" (</w:t>
      </w:r>
      <w:hyperlink r:id="rId7" w:history="1">
        <w:r w:rsidRPr="00860986">
          <w:rPr>
            <w:color w:val="auto"/>
            <w:u w:val="single"/>
          </w:rPr>
          <w:t>https://mintrud.gov.rU/ministry/programms/anticorruption/9/23</w:t>
        </w:r>
      </w:hyperlink>
      <w:r w:rsidRPr="00860986">
        <w:rPr>
          <w:color w:val="auto"/>
        </w:rPr>
        <w:t>), а также Обзоре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 (</w:t>
      </w:r>
      <w:hyperlink r:id="rId8" w:history="1">
        <w:r w:rsidRPr="00860986">
          <w:rPr>
            <w:color w:val="auto"/>
            <w:u w:val="single"/>
          </w:rPr>
          <w:t>https://mintrud.gov.rU/ministry/programms/anticorruption/9/24</w:t>
        </w:r>
      </w:hyperlink>
      <w:r w:rsidRPr="00860986">
        <w:rPr>
          <w:color w:val="auto"/>
        </w:rPr>
        <w:t>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3" w:name="bookmark2"/>
      <w:bookmarkEnd w:id="3"/>
      <w:r>
        <w:t xml:space="preserve">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</w:t>
      </w:r>
      <w:r>
        <w:lastRenderedPageBreak/>
        <w:t>Российской Федерации от 23 июня 2014 г. № 460 (далее - справка).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4" w:name="bookmark3"/>
      <w:bookmarkEnd w:id="4"/>
      <w:r>
        <w:t>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bookmarkStart w:id="5" w:name="bookmark4"/>
      <w:bookmarkEnd w:id="5"/>
      <w:r>
        <w:t>Предусмотрено допустимое отражение информации о должностях супругов, замещающих должности военной службы.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5"/>
        </w:tabs>
        <w:ind w:firstLine="720"/>
        <w:jc w:val="both"/>
      </w:pPr>
      <w:bookmarkStart w:id="6" w:name="bookmark5"/>
      <w:bookmarkEnd w:id="6"/>
      <w:r>
        <w:t>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0"/>
        </w:tabs>
        <w:ind w:firstLine="720"/>
        <w:jc w:val="both"/>
      </w:pPr>
      <w:bookmarkStart w:id="7" w:name="bookmark6"/>
      <w:bookmarkEnd w:id="7"/>
      <w:r>
        <w:t xml:space="preserve">Отмечено, что не подлежат отражению в справке сведения, содержащиеся в информации, полученной в рамках Указания Банка России от 27 мая 2021 г. № 5798-У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75"/>
        </w:tabs>
        <w:ind w:firstLine="720"/>
        <w:jc w:val="both"/>
      </w:pPr>
      <w:bookmarkStart w:id="8" w:name="bookmark7"/>
      <w:bookmarkEnd w:id="8"/>
      <w:r>
        <w:t>Подчеркнуто, что в графе "Сумма сделки (руб.)"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060"/>
        </w:tabs>
        <w:ind w:firstLine="720"/>
        <w:jc w:val="both"/>
      </w:pPr>
      <w:bookmarkStart w:id="9" w:name="bookmark8"/>
      <w:bookmarkEnd w:id="9"/>
      <w:r>
        <w:t>Указано на необходимость отражения в разделе 4 справки именно счетов, а не карт, а также на особенность отражения счетов, открытых в иностранных банках.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80"/>
        </w:tabs>
        <w:ind w:firstLine="720"/>
        <w:jc w:val="both"/>
      </w:pPr>
      <w:bookmarkStart w:id="10" w:name="bookmark9"/>
      <w:bookmarkEnd w:id="10"/>
      <w:r>
        <w:t>Определены особенности отражения счета цифрового рубля.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1" w:name="bookmark10"/>
      <w:bookmarkEnd w:id="11"/>
      <w:r>
        <w:t>Скорректирована информация о порядке заполнения графы "Сумма поступивших на счет денежных средств" раздела 4 справки в соответствии с Указом Президента Российской Федерации от 25 января 2024 г. № 71 "О внесении изменений в некоторые акты Президента Российской Федерации".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204"/>
        </w:tabs>
        <w:ind w:firstLine="720"/>
        <w:jc w:val="both"/>
      </w:pPr>
      <w:bookmarkStart w:id="12" w:name="bookmark11"/>
      <w:bookmarkEnd w:id="12"/>
      <w:r>
        <w:t>Указано на отсутствие необходимости отражать в разделе 4 справки электронные средства платежа.</w:t>
      </w:r>
    </w:p>
    <w:p w:rsidR="00772E56" w:rsidRDefault="00CA38EA">
      <w:pPr>
        <w:pStyle w:val="1"/>
        <w:numPr>
          <w:ilvl w:val="0"/>
          <w:numId w:val="1"/>
        </w:numPr>
        <w:tabs>
          <w:tab w:val="left" w:pos="1199"/>
        </w:tabs>
        <w:ind w:firstLine="720"/>
        <w:jc w:val="both"/>
      </w:pPr>
      <w:bookmarkStart w:id="13" w:name="bookmark12"/>
      <w:bookmarkEnd w:id="13"/>
      <w:r>
        <w:t>Обращено внимание, что в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772E56" w:rsidRDefault="00CA38EA" w:rsidP="00860986">
      <w:pPr>
        <w:pStyle w:val="1"/>
        <w:numPr>
          <w:ilvl w:val="0"/>
          <w:numId w:val="1"/>
        </w:numPr>
        <w:tabs>
          <w:tab w:val="left" w:pos="1199"/>
        </w:tabs>
        <w:spacing w:after="640"/>
        <w:ind w:firstLine="720"/>
        <w:jc w:val="both"/>
      </w:pPr>
      <w:bookmarkStart w:id="14" w:name="bookmark13"/>
      <w:bookmarkEnd w:id="14"/>
      <w:r>
        <w:t>Актуализированы иные положения с учетом изменений нормативных правовых актов Российской Федерации</w:t>
      </w:r>
      <w:r w:rsidR="00860986">
        <w:t>.</w:t>
      </w:r>
    </w:p>
    <w:sectPr w:rsidR="00772E56">
      <w:headerReference w:type="even" r:id="rId9"/>
      <w:headerReference w:type="default" r:id="rId10"/>
      <w:pgSz w:w="11900" w:h="16840"/>
      <w:pgMar w:top="1104" w:right="531" w:bottom="378" w:left="11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62" w:rsidRDefault="00DB5162">
      <w:r>
        <w:separator/>
      </w:r>
    </w:p>
  </w:endnote>
  <w:endnote w:type="continuationSeparator" w:id="0">
    <w:p w:rsidR="00DB5162" w:rsidRDefault="00D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62" w:rsidRDefault="00DB5162"/>
  </w:footnote>
  <w:footnote w:type="continuationSeparator" w:id="0">
    <w:p w:rsidR="00DB5162" w:rsidRDefault="00DB51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6" w:rsidRDefault="00CA38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3915410</wp:posOffset>
              </wp:positionH>
              <wp:positionV relativeFrom="page">
                <wp:posOffset>331470</wp:posOffset>
              </wp:positionV>
              <wp:extent cx="78740" cy="1212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4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72E56" w:rsidRDefault="00CA38EA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 xmlns="">
          <w:pict>
            <v:shape id="_x0000_s1030" type="#_x0000_t202" style="position:absolute;margin-left:308.30000000000001pt;margin-top:26.100000000000001pt;width:6.2000000000000002pt;height:9.55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56" w:rsidRDefault="00772E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F78"/>
    <w:multiLevelType w:val="multilevel"/>
    <w:tmpl w:val="2B32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56"/>
    <w:rsid w:val="00772E56"/>
    <w:rsid w:val="00860986"/>
    <w:rsid w:val="00A150AA"/>
    <w:rsid w:val="00CA38EA"/>
    <w:rsid w:val="00D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C6C5-5EF1-4D17-B858-42729BD5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pacing w:after="40"/>
      <w:ind w:left="4680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150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0A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Теплова Татьяна Сергеевна</dc:creator>
  <cp:lastModifiedBy>Миколуцкая Елена Игоревна</cp:lastModifiedBy>
  <cp:revision>2</cp:revision>
  <cp:lastPrinted>2024-02-13T08:52:00Z</cp:lastPrinted>
  <dcterms:created xsi:type="dcterms:W3CDTF">2024-02-14T01:08:00Z</dcterms:created>
  <dcterms:modified xsi:type="dcterms:W3CDTF">2024-02-14T01:08:00Z</dcterms:modified>
</cp:coreProperties>
</file>